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附件一：</w:t>
      </w:r>
    </w:p>
    <w:p>
      <w:pPr>
        <w:spacing w:line="640" w:lineRule="exact"/>
        <w:jc w:val="left"/>
        <w:rPr>
          <w:rFonts w:ascii="方正小标宋简体" w:hAnsi="Times New Roman" w:eastAsia="方正小标宋简体" w:cs="Times New Roman"/>
          <w:bCs/>
          <w:sz w:val="22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材料审核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评价标准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</w:p>
    <w:tbl>
      <w:tblPr>
        <w:tblStyle w:val="2"/>
        <w:tblW w:w="8429" w:type="dxa"/>
        <w:tblInd w:w="93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5387"/>
        <w:gridCol w:w="1184"/>
      </w:tblGrid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评价项目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评价要素</w:t>
            </w:r>
          </w:p>
        </w:tc>
        <w:tc>
          <w:tcPr>
            <w:tcW w:w="1184" w:type="dxa"/>
          </w:tcPr>
          <w:p>
            <w:pPr>
              <w:widowControl/>
              <w:spacing w:line="560" w:lineRule="exact"/>
              <w:jc w:val="center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220" w:firstLineChars="100"/>
              <w:jc w:val="left"/>
              <w:outlineLvl w:val="0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学术背景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20分）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学习工作经历，硕士阶段的成绩（含对硕士论文评阅成绩）及外语水平等。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220" w:firstLineChars="100"/>
              <w:jc w:val="left"/>
              <w:outlineLvl w:val="0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已取得的成果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20分）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论文、研究报告、</w:t>
            </w:r>
            <w:r>
              <w:rPr>
                <w:rFonts w:ascii="Times New Roman" w:hAnsi="Times New Roman" w:eastAsia="仿宋_GB2312" w:cs="Times New Roman"/>
                <w:sz w:val="22"/>
              </w:rPr>
              <w:t>专利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</w:rPr>
              <w:t>专著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、标准、规范</w:t>
            </w:r>
            <w:r>
              <w:rPr>
                <w:rFonts w:ascii="Times New Roman" w:hAnsi="Times New Roman" w:eastAsia="仿宋_GB2312" w:cs="Times New Roman"/>
                <w:sz w:val="22"/>
              </w:rPr>
              <w:t>等成果。</w:t>
            </w:r>
          </w:p>
        </w:tc>
        <w:tc>
          <w:tcPr>
            <w:tcW w:w="1184" w:type="dxa"/>
            <w:vMerge w:val="continue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220" w:firstLineChars="100"/>
              <w:jc w:val="left"/>
              <w:outlineLvl w:val="0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攻博期间拟进行的科学研究规划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10分）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研究计划思路清晰，具有一定的学术思想，具备进行科学研究的潜质。</w:t>
            </w:r>
          </w:p>
        </w:tc>
        <w:tc>
          <w:tcPr>
            <w:tcW w:w="1184" w:type="dxa"/>
            <w:vMerge w:val="continue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220" w:firstLineChars="100"/>
              <w:jc w:val="left"/>
              <w:outlineLvl w:val="0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专家推荐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10分）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推荐专家对申请人的综合评价及推荐意见。</w:t>
            </w:r>
          </w:p>
        </w:tc>
        <w:tc>
          <w:tcPr>
            <w:tcW w:w="1184" w:type="dxa"/>
            <w:vMerge w:val="continue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220" w:firstLineChars="100"/>
              <w:jc w:val="left"/>
              <w:outlineLvl w:val="0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综合能力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40分）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能够体现综合素质的其他材料。</w:t>
            </w:r>
          </w:p>
        </w:tc>
        <w:tc>
          <w:tcPr>
            <w:tcW w:w="1184" w:type="dxa"/>
            <w:vMerge w:val="continue"/>
          </w:tcPr>
          <w:p>
            <w:pPr>
              <w:widowControl/>
              <w:spacing w:line="56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34F5D"/>
    <w:rsid w:val="2CC34F5D"/>
    <w:rsid w:val="6BE06441"/>
    <w:rsid w:val="7B5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lxy</dc:creator>
  <cp:lastModifiedBy>WengCY</cp:lastModifiedBy>
  <dcterms:modified xsi:type="dcterms:W3CDTF">2024-04-23T08:30:01Z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5AD410342E5B42B6AD261053E26702B5_13</vt:lpwstr>
  </property>
</Properties>
</file>